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eastAsia="楷体_GB2312"/>
          <w:color w:val="auto"/>
          <w:lang w:val="en-US" w:eastAsia="zh-CN"/>
        </w:rPr>
      </w:pPr>
      <w:r>
        <w:rPr>
          <w:rFonts w:hint="eastAsia" w:ascii="楷体_GB2312" w:hAnsi="楷体_GB2312" w:eastAsia="楷体_GB2312" w:cs="楷体_GB2312"/>
          <w:color w:val="auto"/>
          <w:sz w:val="32"/>
          <w:szCs w:val="32"/>
        </w:rPr>
        <w:t>滕交字〔20</w:t>
      </w:r>
      <w:r>
        <w:rPr>
          <w:rFonts w:hint="eastAsia" w:ascii="楷体_GB2312" w:hAnsi="楷体_GB2312" w:eastAsia="楷体_GB2312" w:cs="楷体_GB2312"/>
          <w:color w:val="auto"/>
          <w:sz w:val="32"/>
          <w:szCs w:val="32"/>
          <w:lang w:val="en-US" w:eastAsia="zh-CN"/>
        </w:rPr>
        <w:t>23</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9</w:t>
      </w:r>
      <w:r>
        <w:rPr>
          <w:rFonts w:hint="eastAsia" w:ascii="楷体_GB2312" w:hAnsi="楷体_GB2312" w:eastAsia="楷体_GB2312" w:cs="楷体_GB2312"/>
          <w:color w:val="auto"/>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滕州市交通运输局</w:t>
      </w:r>
    </w:p>
    <w:p>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关于印发《全市交通运输领域夏季安全集中</w:t>
      </w:r>
    </w:p>
    <w:p>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整治行动方案》的通知</w:t>
      </w: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局属各单位：</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现将《全市交通运输领域夏季安全集中整治行动方案》印发给你们，请认真贯彻落实。</w:t>
      </w: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autoSpaceDE w:val="0"/>
        <w:autoSpaceDN w:val="0"/>
        <w:bidi w:val="0"/>
        <w:adjustRightInd w:val="0"/>
        <w:snapToGrid w:val="0"/>
        <w:spacing w:line="560" w:lineRule="exact"/>
        <w:jc w:val="right"/>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滕州市交通运输局</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val="0"/>
        <w:overflowPunct/>
        <w:topLinePunct w:val="0"/>
        <w:autoSpaceDE w:val="0"/>
        <w:autoSpaceDN w:val="0"/>
        <w:bidi w:val="0"/>
        <w:adjustRightInd w:val="0"/>
        <w:snapToGrid w:val="0"/>
        <w:spacing w:line="560" w:lineRule="exact"/>
        <w:jc w:val="right"/>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2023年5月18日</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numPr>
          <w:ilvl w:val="0"/>
          <w:numId w:val="0"/>
        </w:numPr>
        <w:kinsoku/>
        <w:wordWrap w:val="0"/>
        <w:overflowPunct/>
        <w:topLinePunct w:val="0"/>
        <w:autoSpaceDE/>
        <w:autoSpaceDN/>
        <w:bidi w:val="0"/>
        <w:adjustRightInd/>
        <w:snapToGrid/>
        <w:spacing w:after="469" w:afterLines="150" w:line="520" w:lineRule="exact"/>
        <w:jc w:val="both"/>
        <w:textAlignment w:val="auto"/>
        <w:rPr>
          <w:rFonts w:hint="eastAsia" w:ascii="仿宋_GB2312" w:hAnsi="仿宋_GB2312" w:eastAsia="仿宋_GB2312" w:cs="仿宋_GB2312"/>
          <w:sz w:val="32"/>
          <w:szCs w:val="32"/>
          <w:lang w:val="en-US" w:eastAsia="zh-CN"/>
        </w:rPr>
      </w:pPr>
      <w:bookmarkStart w:id="0" w:name="_GoBack"/>
      <w:bookmarkEnd w:id="0"/>
    </w:p>
    <w:p>
      <w:pPr>
        <w:pStyle w:val="2"/>
        <w:keepNext w:val="0"/>
        <w:keepLines w:val="0"/>
        <w:pageBreakBefore w:val="0"/>
        <w:widowControl/>
        <w:kinsoku w:val="0"/>
        <w:wordWrap/>
        <w:overflowPunct/>
        <w:topLinePunct w:val="0"/>
        <w:autoSpaceDE w:val="0"/>
        <w:autoSpaceDN w:val="0"/>
        <w:bidi w:val="0"/>
        <w:adjustRightInd w:val="0"/>
        <w:snapToGrid w:val="0"/>
        <w:spacing w:after="240"/>
        <w:textAlignment w:val="baseline"/>
        <w:rPr>
          <w:rFonts w:hint="eastAsia"/>
          <w:lang w:val="en-US" w:eastAsia="zh-CN"/>
        </w:rPr>
      </w:pPr>
    </w:p>
    <w:p>
      <w:pPr>
        <w:keepNext w:val="0"/>
        <w:keepLines w:val="0"/>
        <w:pageBreakBefore w:val="0"/>
        <w:widowControl w:val="0"/>
        <w:pBdr>
          <w:top w:val="single" w:color="auto" w:sz="12" w:space="0"/>
          <w:left w:val="none" w:color="auto" w:sz="0" w:space="4"/>
          <w:bottom w:val="single" w:color="auto" w:sz="12" w:space="0"/>
          <w:right w:val="none" w:color="auto" w:sz="0" w:space="4"/>
          <w:between w:val="none" w:color="auto" w:sz="0" w:space="0"/>
        </w:pBdr>
        <w:tabs>
          <w:tab w:val="left" w:pos="4251"/>
        </w:tabs>
        <w:kinsoku/>
        <w:wordWrap/>
        <w:overflowPunct/>
        <w:topLinePunct w:val="0"/>
        <w:autoSpaceDE/>
        <w:autoSpaceDN/>
        <w:bidi w:val="0"/>
        <w:adjustRightInd w:val="0"/>
        <w:snapToGrid w:val="0"/>
        <w:spacing w:line="440" w:lineRule="exact"/>
        <w:ind w:firstLine="56" w:firstLineChars="2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10"/>
          <w:sz w:val="28"/>
          <w:szCs w:val="28"/>
        </w:rPr>
        <w:t>滕州市交通运输局</w:t>
      </w:r>
      <w:r>
        <w:rPr>
          <w:rFonts w:hint="eastAsia" w:ascii="仿宋_GB2312" w:hAnsi="仿宋_GB2312" w:eastAsia="仿宋_GB2312" w:cs="仿宋_GB2312"/>
          <w:color w:val="000000"/>
          <w:kern w:val="10"/>
          <w:sz w:val="28"/>
          <w:szCs w:val="28"/>
          <w:lang w:eastAsia="zh-CN"/>
        </w:rPr>
        <w:t>办公三室</w:t>
      </w:r>
      <w:r>
        <w:rPr>
          <w:rFonts w:hint="eastAsia" w:ascii="仿宋_GB2312" w:hAnsi="仿宋_GB2312" w:eastAsia="仿宋_GB2312" w:cs="仿宋_GB2312"/>
          <w:color w:val="000000"/>
          <w:kern w:val="10"/>
          <w:sz w:val="28"/>
          <w:szCs w:val="28"/>
        </w:rPr>
        <w:t xml:space="preserve">           </w:t>
      </w:r>
      <w:r>
        <w:rPr>
          <w:rFonts w:hint="eastAsia" w:ascii="仿宋_GB2312" w:hAnsi="仿宋_GB2312" w:eastAsia="仿宋_GB2312" w:cs="仿宋_GB2312"/>
          <w:color w:val="000000"/>
          <w:kern w:val="10"/>
          <w:sz w:val="28"/>
          <w:szCs w:val="28"/>
          <w:lang w:val="en-US" w:eastAsia="zh-CN"/>
        </w:rPr>
        <w:t xml:space="preserve">       </w:t>
      </w:r>
      <w:r>
        <w:rPr>
          <w:rFonts w:hint="eastAsia" w:ascii="仿宋_GB2312" w:hAnsi="仿宋_GB2312" w:eastAsia="仿宋_GB2312" w:cs="仿宋_GB2312"/>
          <w:color w:val="000000"/>
          <w:kern w:val="10"/>
          <w:sz w:val="28"/>
          <w:szCs w:val="28"/>
        </w:rPr>
        <w:t>20</w:t>
      </w:r>
      <w:r>
        <w:rPr>
          <w:rFonts w:hint="eastAsia" w:ascii="仿宋_GB2312" w:hAnsi="仿宋_GB2312" w:eastAsia="仿宋_GB2312" w:cs="仿宋_GB2312"/>
          <w:color w:val="000000"/>
          <w:kern w:val="10"/>
          <w:sz w:val="28"/>
          <w:szCs w:val="28"/>
          <w:lang w:val="en-US" w:eastAsia="zh-CN"/>
        </w:rPr>
        <w:t>23</w:t>
      </w:r>
      <w:r>
        <w:rPr>
          <w:rFonts w:hint="eastAsia" w:ascii="仿宋_GB2312" w:hAnsi="仿宋_GB2312" w:eastAsia="仿宋_GB2312" w:cs="仿宋_GB2312"/>
          <w:color w:val="000000"/>
          <w:kern w:val="10"/>
          <w:sz w:val="28"/>
          <w:szCs w:val="28"/>
        </w:rPr>
        <w:t>年</w:t>
      </w:r>
      <w:r>
        <w:rPr>
          <w:rFonts w:hint="eastAsia" w:ascii="仿宋_GB2312" w:hAnsi="仿宋_GB2312" w:eastAsia="仿宋_GB2312" w:cs="仿宋_GB2312"/>
          <w:color w:val="000000"/>
          <w:kern w:val="10"/>
          <w:sz w:val="28"/>
          <w:szCs w:val="28"/>
          <w:lang w:val="en-US" w:eastAsia="zh-CN"/>
        </w:rPr>
        <w:t>5</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18</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kern w:val="10"/>
          <w:sz w:val="28"/>
          <w:szCs w:val="28"/>
        </w:rPr>
        <w:t>印</w:t>
      </w:r>
      <w:r>
        <w:rPr>
          <w:rFonts w:hint="eastAsia" w:ascii="仿宋_GB2312" w:hAnsi="仿宋_GB2312" w:eastAsia="仿宋_GB2312" w:cs="仿宋_GB2312"/>
          <w:color w:val="000000"/>
          <w:kern w:val="10"/>
          <w:sz w:val="28"/>
          <w:szCs w:val="28"/>
          <w:lang w:val="en-US" w:eastAsia="zh-CN"/>
        </w:rPr>
        <w:t>发</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val="0"/>
        <w:spacing w:line="520" w:lineRule="exact"/>
        <w:jc w:val="center"/>
        <w:textAlignment w:val="baseline"/>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52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全市交通运输领域夏季安全集中整治</w:t>
      </w:r>
    </w:p>
    <w:p>
      <w:pPr>
        <w:keepNext w:val="0"/>
        <w:keepLines w:val="0"/>
        <w:pageBreakBefore w:val="0"/>
        <w:widowControl w:val="0"/>
        <w:kinsoku/>
        <w:wordWrap/>
        <w:overflowPunct/>
        <w:topLinePunct w:val="0"/>
        <w:autoSpaceDE w:val="0"/>
        <w:autoSpaceDN w:val="0"/>
        <w:bidi w:val="0"/>
        <w:adjustRightInd w:val="0"/>
        <w:snapToGrid w:val="0"/>
        <w:spacing w:line="52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行动方案</w:t>
      </w:r>
    </w:p>
    <w:p>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深刻吸取近期交通运输领域事故教训，深入贯彻落实全省安全生产专题视频会议精神，进一步强化我市交通运输领域安全管理工作，全面排查治理安全隐患，坚决防范和遏制交通运输领域生产安全事故发生，根据枣庄市交通运输局《关于印发&lt;全市夏季交通</w:t>
      </w:r>
      <w:r>
        <w:rPr>
          <w:rFonts w:hint="eastAsia" w:ascii="仿宋_GB2312" w:hAnsi="仿宋_GB2312" w:eastAsia="仿宋_GB2312" w:cs="仿宋_GB2312"/>
          <w:color w:val="auto"/>
          <w:sz w:val="32"/>
          <w:szCs w:val="32"/>
          <w:lang w:val="en-US" w:eastAsia="zh-CN"/>
        </w:rPr>
        <w:t>运输</w:t>
      </w:r>
      <w:r>
        <w:rPr>
          <w:rFonts w:hint="eastAsia" w:ascii="仿宋_GB2312" w:hAnsi="仿宋_GB2312" w:eastAsia="仿宋_GB2312" w:cs="仿宋_GB2312"/>
          <w:color w:val="auto"/>
          <w:sz w:val="32"/>
          <w:szCs w:val="32"/>
        </w:rPr>
        <w:t>领域安全集中整治行动方案&gt;的通知》（枣交字〔2023〕37号）文件精神，局决定从即日起至9月底，在全市交通运输系统开展夏季安全集中整治行动，现制定工作方案如下。</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一、指导思想</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深入学习贯彻习近平总书记关于安全生产重要论述和国家、省、市决策部署，牢固树立“人民至上、生命至上”的发展理念，突出防风险、遏事故、促安全，重点落实源头性排查、基础性防范、常态化整治工作措施，进一步筑牢交通运输系统安全责任、监督、保障体系，坚决防范和遏制生产安全事故的发生，确保全系统安全生产形势平稳。</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二、目标任务</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夏季安全集中整治行动，坚决整改安全生产主体责任不落实、安全管理不到位的行为，坚决消除影响道路交通安全、交通在建工程容易诱发交通事故的安全隐患，坚决查处扰乱道路运输市场秩序，切实完善和改进交通运输系统安全管理的各项制度建设、设施建设、机制建设，督促企业严格落实国务院安委会十五条硬措施和省委省政府“八抓20条”创新措施，全力推动交通运输领域安全治理模式向事前预防转型，促进全系统持续稳定健康发展。</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三、主要任务</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全面整治道路违法行为。</w:t>
      </w:r>
      <w:r>
        <w:rPr>
          <w:rFonts w:hint="eastAsia" w:ascii="仿宋_GB2312" w:hAnsi="仿宋_GB2312" w:eastAsia="仿宋_GB2312" w:cs="仿宋_GB2312"/>
          <w:sz w:val="32"/>
          <w:szCs w:val="32"/>
        </w:rPr>
        <w:t>突出抓好长途客运班车、旅游包车、危险化学品运输和大件运输安全监管，加大对车辆的日常检查力度，加强安全培训教育，严禁违规操作，严禁车辆“带病”运行。严查无证经营、违规驾驶、非法改装。加强源头管控，加大对“四类企业”“四类场站”监督检查力度，严禁超限超载车辆出场运营。建立执法检查发现问题隐患台账</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明确整改时限，不能保证安全生产的坚决采取停工、停运、停业整顿措施。</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全面强化交通在建工程安全管理。</w:t>
      </w:r>
      <w:r>
        <w:rPr>
          <w:rFonts w:hint="eastAsia" w:ascii="仿宋_GB2312" w:hAnsi="仿宋_GB2312" w:eastAsia="仿宋_GB2312" w:cs="仿宋_GB2312"/>
          <w:sz w:val="32"/>
          <w:szCs w:val="32"/>
        </w:rPr>
        <w:t>督促工程建设单位加强施工工地和驻地隐患排查和风险管控，突出工地、基坑、挡土墙、临建设施、仓库等重点部位。密切关注汛期雨情，水文和台风变化，对可能受到暴雨、坍塌、溃坝等自然灾害影响的施工工地和驻地，提前做好大型临时设施、机械设备、施工驻地等的排险加固，落实好防雷击、防坍塌、防坠落等措施。</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全面排查影响道路安全隐患。</w:t>
      </w:r>
      <w:r>
        <w:rPr>
          <w:rFonts w:hint="eastAsia" w:ascii="仿宋_GB2312" w:hAnsi="仿宋_GB2312" w:eastAsia="仿宋_GB2312" w:cs="仿宋_GB2312"/>
          <w:sz w:val="32"/>
          <w:szCs w:val="32"/>
        </w:rPr>
        <w:t>对辖区内的国省道路和农村公路运行状况及安全设施进行全面排查，逐一制定并落实防范、应对措施。对现有的交通标志标线进行一次全面的维护，凡是树木遮挡、损坏缺失的，一律清理修复，凡是指路标志设置不合理、不清晰的，一律调整、补充和完善；对事故多发的危险路段、桥梁，一律限期采取工程改造、限速管理等措施消除安全隐患；对沿河、沿湖、高路基路段，凡是存在安全隐患的，一律按规范设置警示标志、警示桩、防护栏。</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全面排查重点单位安全隐患。</w:t>
      </w:r>
      <w:r>
        <w:rPr>
          <w:rFonts w:hint="eastAsia" w:ascii="仿宋_GB2312" w:hAnsi="仿宋_GB2312" w:eastAsia="仿宋_GB2312" w:cs="仿宋_GB2312"/>
          <w:sz w:val="32"/>
          <w:szCs w:val="32"/>
        </w:rPr>
        <w:t>组织专门力量深入客运、旅游、校车服务、危化品运输等单位，开展全覆盖的专项检查。重点排查运输单位的交通安全组织领导体系是否健全，主体安全责任是否明确，驾驶人员教育培训、车辆维修保养等安全制度是否落实，GPS监控系统是否有专人值守，是否实行24小时动态监控。对安全管理不严、安全隐患突出，交通违法事故率较高的车辆所属单位，责令限期整改，并实行跟踪督办。组织辖区所有运输企业负责人召开运输安全例会，通报安全形势和隐患排查情况，督促落实隐患排查整改措施，加强内部安全管理。</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全面排查重点车辆安全隐患。</w:t>
      </w:r>
      <w:r>
        <w:rPr>
          <w:rFonts w:hint="eastAsia" w:ascii="仿宋_GB2312" w:hAnsi="仿宋_GB2312" w:eastAsia="仿宋_GB2312" w:cs="仿宋_GB2312"/>
          <w:sz w:val="32"/>
          <w:szCs w:val="32"/>
        </w:rPr>
        <w:t>对公路客货车、危险品运输车、城市公交车、旅游包车等重点车辆，进行一次全面的安全检查，切实做到“五个必须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车辆上路行驶、营运的证照必须齐全合法；车辆转向、制动、油路等主要部件和灭火器、安全带、安全锤等装置必须齐备完好；车辆疏散通道、逃生门窗必须通畅；应当安装卫星定位和视频监控装置的必须安装到位并正常使用；车辆日常维护保养和安全检查必须逐辆登记在册，留存备查。对车辆安全检查不合格以及安全技术状况不符合标准，逾期未检验的，要责令车辆单位立即停止使用，迅速整改。</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全面提升交通应急救援能力。</w:t>
      </w:r>
      <w:r>
        <w:rPr>
          <w:rFonts w:hint="eastAsia" w:ascii="仿宋_GB2312" w:hAnsi="仿宋_GB2312" w:eastAsia="仿宋_GB2312" w:cs="仿宋_GB2312"/>
          <w:sz w:val="32"/>
          <w:szCs w:val="32"/>
        </w:rPr>
        <w:t>要及时共享气象变化和突发事件信息，及时发布雨雾天气、交通事故、占道施工、交通管制、事故多发点段等预警信息，引导驾驶人合理选择出行路线、自觉安全驾驶，防范化解行车安全风险。对不具备通行条件的，要及时采取管制措施引导分流。</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七</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全面加强交通运输领域安全宣传教育。</w:t>
      </w:r>
      <w:r>
        <w:rPr>
          <w:rFonts w:hint="eastAsia" w:ascii="仿宋_GB2312" w:hAnsi="仿宋_GB2312" w:eastAsia="仿宋_GB2312" w:cs="仿宋_GB2312"/>
          <w:sz w:val="32"/>
          <w:szCs w:val="32"/>
        </w:rPr>
        <w:t>各道路运输企业要有针对性地向长途客运班车、旅游包车、危险化学品运输、普通货运、城市公交车驾驶员</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交通工程施工现场管理人员等重点群体点对点发送交通安全提示信息，推动交通从业人员交通安全文明意识，切实提高宣传提示的实效性。</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、工作要求</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加强组织领导，全力做好落实。</w:t>
      </w:r>
      <w:r>
        <w:rPr>
          <w:rFonts w:hint="eastAsia" w:ascii="仿宋_GB2312" w:hAnsi="仿宋_GB2312" w:eastAsia="仿宋_GB2312" w:cs="仿宋_GB2312"/>
          <w:sz w:val="32"/>
          <w:szCs w:val="32"/>
        </w:rPr>
        <w:t>进入夏季，各类运输繁忙，拼车包车集约出行、务农务工集中出行频繁，公路物流运输持续趋稳走高，交通违法行为易发多发。各单位务必要高度重视，结合本单位实际制定工作方案，按照全市开展交通运输市场专项整治行动的要求，形成纵向到底、横向到边的安全生产执法管理体系，构建齐抓共管交通安全的良好工作局面。</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加强协作配合，严惩违法行为。</w:t>
      </w:r>
      <w:r>
        <w:rPr>
          <w:rFonts w:hint="eastAsia" w:ascii="仿宋_GB2312" w:hAnsi="仿宋_GB2312" w:eastAsia="仿宋_GB2312" w:cs="仿宋_GB2312"/>
          <w:sz w:val="32"/>
          <w:szCs w:val="32"/>
        </w:rPr>
        <w:t>各单位要按照“属地原则”和“三管三必须”的原则，进一步明确排查整治职责任务和工作要求，依据《安全生产法》《山东省安全生产条例》等法律法规和部门规章，围绕“两客一危一大”、交通工程建设等重点领域，针对超限超载超员、非法改装、无证运营、疲劳驾驶等违法违规行为，加强与公安、市场监管等部门联合执法，增强震慑力，持续保持严执法、严处罚、严打击高压态势。</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加强信息报送，强化工作督查。</w:t>
      </w:r>
      <w:r>
        <w:rPr>
          <w:rFonts w:hint="eastAsia" w:ascii="仿宋_GB2312" w:hAnsi="仿宋_GB2312" w:eastAsia="仿宋_GB2312" w:cs="仿宋_GB2312"/>
          <w:sz w:val="32"/>
          <w:szCs w:val="32"/>
        </w:rPr>
        <w:t>各单位要加大对集中整治行动的督导检查力度，强化问题隐患的整改落实。局安全</w:t>
      </w:r>
      <w:r>
        <w:rPr>
          <w:rFonts w:hint="eastAsia" w:ascii="仿宋_GB2312" w:hAnsi="仿宋_GB2312" w:eastAsia="仿宋_GB2312" w:cs="仿宋_GB2312"/>
          <w:sz w:val="32"/>
          <w:szCs w:val="32"/>
          <w:lang w:val="en-US" w:eastAsia="zh-CN"/>
        </w:rPr>
        <w:t>生产监督管理科</w:t>
      </w:r>
      <w:r>
        <w:rPr>
          <w:rFonts w:hint="eastAsia" w:ascii="仿宋_GB2312" w:hAnsi="仿宋_GB2312" w:eastAsia="仿宋_GB2312" w:cs="仿宋_GB2312"/>
          <w:sz w:val="32"/>
          <w:szCs w:val="32"/>
        </w:rPr>
        <w:t>将定期调度各单位工作开展情况，并适时组织督导组进行督导检查。</w:t>
      </w: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20" w:lineRule="exact"/>
        <w:ind w:firstLine="640" w:firstLineChars="200"/>
        <w:jc w:val="both"/>
        <w:textAlignment w:val="baseline"/>
        <w:rPr>
          <w:rFonts w:hint="eastAsia" w:ascii="仿宋_GB2312" w:hAnsi="仿宋_GB2312" w:eastAsia="仿宋_GB2312" w:cs="仿宋_GB2312"/>
          <w:sz w:val="32"/>
          <w:szCs w:val="32"/>
          <w:lang w:val="en-US" w:eastAsia="zh-CN"/>
        </w:rPr>
        <w:sectPr>
          <w:footerReference r:id="rId5" w:type="default"/>
          <w:pgSz w:w="11906" w:h="16838"/>
          <w:pgMar w:top="1587" w:right="1587" w:bottom="1587" w:left="1587" w:header="851" w:footer="1304" w:gutter="0"/>
          <w:pgNumType w:fmt="numberInDash"/>
          <w:cols w:space="0" w:num="1"/>
          <w:rtlGutter w:val="0"/>
          <w:docGrid w:type="lines" w:linePitch="312" w:charSpace="0"/>
        </w:sectPr>
      </w:pPr>
      <w:r>
        <w:rPr>
          <w:rFonts w:hint="eastAsia" w:ascii="仿宋_GB2312" w:hAnsi="仿宋_GB2312" w:eastAsia="仿宋_GB2312" w:cs="仿宋_GB2312"/>
          <w:sz w:val="32"/>
          <w:szCs w:val="32"/>
          <w:lang w:val="en-US" w:eastAsia="zh-CN"/>
        </w:rPr>
        <w:t>附件：全市交通运输系统夏季安全集中整治行动统计表</w:t>
      </w:r>
    </w:p>
    <w:p>
      <w:pPr>
        <w:spacing w:line="323" w:lineRule="auto"/>
        <w:rPr>
          <w:rFonts w:ascii="黑体" w:hAnsi="黑体" w:eastAsia="黑体" w:cs="黑体"/>
          <w:b w:val="0"/>
          <w:bCs w:val="0"/>
          <w:sz w:val="32"/>
          <w:szCs w:val="32"/>
        </w:rPr>
      </w:pPr>
      <w:r>
        <w:rPr>
          <w:rFonts w:ascii="黑体" w:hAnsi="黑体" w:eastAsia="黑体" w:cs="黑体"/>
          <w:b w:val="0"/>
          <w:bCs w:val="0"/>
          <w:spacing w:val="-11"/>
          <w:sz w:val="32"/>
          <w:szCs w:val="32"/>
        </w:rPr>
        <w:t>附件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2"/>
          <w:sz w:val="44"/>
          <w:szCs w:val="44"/>
        </w:rPr>
        <w:t>全市交通运输</w:t>
      </w:r>
      <w:r>
        <w:rPr>
          <w:rFonts w:hint="eastAsia" w:ascii="方正小标宋简体" w:hAnsi="方正小标宋简体" w:eastAsia="方正小标宋简体" w:cs="方正小标宋简体"/>
          <w:b w:val="0"/>
          <w:bCs w:val="0"/>
          <w:spacing w:val="-2"/>
          <w:sz w:val="44"/>
          <w:szCs w:val="44"/>
          <w:lang w:eastAsia="zh-CN"/>
        </w:rPr>
        <w:t>系统</w:t>
      </w:r>
      <w:r>
        <w:rPr>
          <w:rFonts w:hint="eastAsia" w:ascii="方正小标宋简体" w:hAnsi="方正小标宋简体" w:eastAsia="方正小标宋简体" w:cs="方正小标宋简体"/>
          <w:b w:val="0"/>
          <w:bCs w:val="0"/>
          <w:spacing w:val="-2"/>
          <w:sz w:val="44"/>
          <w:szCs w:val="44"/>
        </w:rPr>
        <w:t>夏季安全集中整治行动统计表</w:t>
      </w:r>
    </w:p>
    <w:p>
      <w:pPr>
        <w:keepNext w:val="0"/>
        <w:keepLines w:val="0"/>
        <w:pageBreakBefore w:val="0"/>
        <w:widowControl w:val="0"/>
        <w:kinsoku/>
        <w:wordWrap/>
        <w:overflowPunct/>
        <w:topLinePunct w:val="0"/>
        <w:autoSpaceDE w:val="0"/>
        <w:autoSpaceDN w:val="0"/>
        <w:bidi w:val="0"/>
        <w:adjustRightInd w:val="0"/>
        <w:snapToGrid w:val="0"/>
        <w:spacing w:line="300" w:lineRule="exact"/>
        <w:ind w:firstLine="280" w:firstLineChars="100"/>
        <w:jc w:val="both"/>
        <w:textAlignment w:val="baseline"/>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280" w:firstLineChars="100"/>
        <w:jc w:val="both"/>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填报单位:                                                               填报日期:2023年  月  日</w:t>
      </w:r>
    </w:p>
    <w:tbl>
      <w:tblPr>
        <w:tblStyle w:val="9"/>
        <w:tblpPr w:leftFromText="180" w:rightFromText="180" w:vertAnchor="page" w:horzAnchor="page" w:tblpX="1510" w:tblpY="3785"/>
        <w:tblOverlap w:val="never"/>
        <w:tblW w:w="143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9"/>
        <w:gridCol w:w="645"/>
        <w:gridCol w:w="750"/>
        <w:gridCol w:w="998"/>
        <w:gridCol w:w="580"/>
        <w:gridCol w:w="639"/>
        <w:gridCol w:w="709"/>
        <w:gridCol w:w="700"/>
        <w:gridCol w:w="969"/>
        <w:gridCol w:w="859"/>
        <w:gridCol w:w="670"/>
        <w:gridCol w:w="580"/>
        <w:gridCol w:w="909"/>
        <w:gridCol w:w="649"/>
        <w:gridCol w:w="779"/>
        <w:gridCol w:w="629"/>
        <w:gridCol w:w="630"/>
        <w:gridCol w:w="650"/>
        <w:gridCol w:w="6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69"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hanging="120"/>
              <w:jc w:val="center"/>
              <w:textAlignment w:val="baseline"/>
              <w:rPr>
                <w:rFonts w:hint="eastAsia" w:ascii="宋体" w:hAnsi="宋体" w:eastAsia="宋体" w:cs="宋体"/>
                <w:b/>
                <w:bCs/>
                <w:sz w:val="22"/>
                <w:szCs w:val="22"/>
                <w:lang w:eastAsia="zh-CN"/>
              </w:rPr>
            </w:pPr>
            <w:r>
              <w:rPr>
                <w:rFonts w:hint="eastAsia" w:ascii="宋体" w:hAnsi="宋体" w:eastAsia="宋体" w:cs="宋体"/>
                <w:b/>
                <w:bCs/>
                <w:spacing w:val="22"/>
                <w:sz w:val="22"/>
                <w:szCs w:val="22"/>
                <w:lang w:eastAsia="zh-CN"/>
              </w:rPr>
              <w:t>单位</w:t>
            </w:r>
          </w:p>
        </w:tc>
        <w:tc>
          <w:tcPr>
            <w:tcW w:w="7519" w:type="dxa"/>
            <w:gridSpan w:val="1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2"/>
                <w:sz w:val="22"/>
                <w:szCs w:val="22"/>
              </w:rPr>
              <w:t>隐患排查整治情况</w:t>
            </w:r>
          </w:p>
        </w:tc>
        <w:tc>
          <w:tcPr>
            <w:tcW w:w="4826" w:type="dxa"/>
            <w:gridSpan w:val="7"/>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4"/>
                <w:sz w:val="22"/>
                <w:szCs w:val="22"/>
              </w:rPr>
              <w:t>行政处罚情况</w:t>
            </w:r>
          </w:p>
        </w:tc>
        <w:tc>
          <w:tcPr>
            <w:tcW w:w="645"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b/>
                <w:bCs/>
                <w:sz w:val="21"/>
              </w:rPr>
            </w:pP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4"/>
                <w:sz w:val="22"/>
                <w:szCs w:val="22"/>
              </w:rPr>
              <w:t>下达</w:t>
            </w:r>
            <w:r>
              <w:rPr>
                <w:rFonts w:ascii="宋体" w:hAnsi="宋体" w:eastAsia="宋体" w:cs="宋体"/>
                <w:b/>
                <w:bCs/>
                <w:sz w:val="22"/>
                <w:szCs w:val="22"/>
              </w:rPr>
              <w:t xml:space="preserve"> </w:t>
            </w:r>
            <w:r>
              <w:rPr>
                <w:rFonts w:ascii="宋体" w:hAnsi="宋体" w:eastAsia="宋体" w:cs="宋体"/>
                <w:b/>
                <w:bCs/>
                <w:spacing w:val="-5"/>
                <w:sz w:val="22"/>
                <w:szCs w:val="22"/>
              </w:rPr>
              <w:t>执法</w:t>
            </w:r>
            <w:r>
              <w:rPr>
                <w:rFonts w:ascii="宋体" w:hAnsi="宋体" w:eastAsia="宋体" w:cs="宋体"/>
                <w:b/>
                <w:bCs/>
                <w:sz w:val="22"/>
                <w:szCs w:val="22"/>
              </w:rPr>
              <w:t xml:space="preserve"> </w:t>
            </w:r>
            <w:r>
              <w:rPr>
                <w:rFonts w:ascii="宋体" w:hAnsi="宋体" w:eastAsia="宋体" w:cs="宋体"/>
                <w:b/>
                <w:bCs/>
                <w:spacing w:val="7"/>
                <w:sz w:val="22"/>
                <w:szCs w:val="22"/>
              </w:rPr>
              <w:t>文书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1369"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b/>
                <w:bCs/>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pacing w:val="6"/>
                <w:sz w:val="22"/>
                <w:szCs w:val="22"/>
              </w:rPr>
            </w:pPr>
            <w:r>
              <w:rPr>
                <w:rFonts w:ascii="宋体" w:hAnsi="宋体" w:eastAsia="宋体" w:cs="宋体"/>
                <w:b/>
                <w:bCs/>
                <w:spacing w:val="6"/>
                <w:sz w:val="22"/>
                <w:szCs w:val="22"/>
              </w:rPr>
              <w:t>组织</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检查</w:t>
            </w:r>
            <w:r>
              <w:rPr>
                <w:rFonts w:ascii="宋体" w:hAnsi="宋体" w:eastAsia="宋体" w:cs="宋体"/>
                <w:b/>
                <w:bCs/>
                <w:sz w:val="22"/>
                <w:szCs w:val="22"/>
              </w:rPr>
              <w:t>组</w:t>
            </w: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13"/>
                <w:sz w:val="22"/>
                <w:szCs w:val="22"/>
              </w:rPr>
              <w:t>派出</w:t>
            </w:r>
            <w:r>
              <w:rPr>
                <w:rFonts w:ascii="宋体" w:hAnsi="宋体" w:eastAsia="宋体" w:cs="宋体"/>
                <w:b/>
                <w:bCs/>
                <w:spacing w:val="-5"/>
                <w:sz w:val="22"/>
                <w:szCs w:val="22"/>
              </w:rPr>
              <w:t>检查</w:t>
            </w:r>
            <w:r>
              <w:rPr>
                <w:rFonts w:ascii="宋体" w:hAnsi="宋体" w:eastAsia="宋体" w:cs="宋体"/>
                <w:b/>
                <w:bCs/>
                <w:spacing w:val="15"/>
                <w:sz w:val="22"/>
                <w:szCs w:val="22"/>
              </w:rPr>
              <w:t>人员</w:t>
            </w: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2"/>
                <w:sz w:val="22"/>
                <w:szCs w:val="22"/>
              </w:rPr>
              <w:t>检查生</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4"/>
                <w:sz w:val="22"/>
                <w:szCs w:val="22"/>
              </w:rPr>
              <w:t>产经营</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单位</w:t>
            </w:r>
          </w:p>
        </w:tc>
        <w:tc>
          <w:tcPr>
            <w:tcW w:w="580"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14"/>
                <w:sz w:val="22"/>
                <w:szCs w:val="22"/>
              </w:rPr>
              <w:t>排查隐患</w:t>
            </w: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已整</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改</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整改</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率</w:t>
            </w: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12"/>
                <w:sz w:val="22"/>
                <w:szCs w:val="22"/>
              </w:rPr>
              <w:t>其中</w:t>
            </w:r>
            <w:r>
              <w:rPr>
                <w:rFonts w:ascii="宋体" w:hAnsi="宋体" w:eastAsia="宋体" w:cs="宋体"/>
                <w:b/>
                <w:bCs/>
                <w:sz w:val="22"/>
                <w:szCs w:val="22"/>
              </w:rPr>
              <w:t xml:space="preserve"> </w:t>
            </w:r>
            <w:r>
              <w:rPr>
                <w:rFonts w:ascii="宋体" w:hAnsi="宋体" w:eastAsia="宋体" w:cs="宋体"/>
                <w:b/>
                <w:bCs/>
                <w:spacing w:val="-5"/>
                <w:sz w:val="22"/>
                <w:szCs w:val="22"/>
              </w:rPr>
              <w:t>重大</w:t>
            </w:r>
            <w:r>
              <w:rPr>
                <w:rFonts w:ascii="宋体" w:hAnsi="宋体" w:eastAsia="宋体" w:cs="宋体"/>
                <w:b/>
                <w:bCs/>
                <w:sz w:val="22"/>
                <w:szCs w:val="22"/>
              </w:rPr>
              <w:t xml:space="preserve"> </w:t>
            </w:r>
            <w:r>
              <w:rPr>
                <w:rFonts w:ascii="宋体" w:hAnsi="宋体" w:eastAsia="宋体" w:cs="宋体"/>
                <w:b/>
                <w:bCs/>
                <w:spacing w:val="11"/>
                <w:sz w:val="22"/>
                <w:szCs w:val="22"/>
              </w:rPr>
              <w:t>隐患</w:t>
            </w: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已整改</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4"/>
                <w:sz w:val="22"/>
                <w:szCs w:val="22"/>
              </w:rPr>
              <w:t>重大隐</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患</w:t>
            </w: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重大</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隐患</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整改</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率</w:t>
            </w: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8"/>
                <w:sz w:val="22"/>
                <w:szCs w:val="22"/>
              </w:rPr>
              <w:t>挂牌</w:t>
            </w:r>
            <w:r>
              <w:rPr>
                <w:rFonts w:ascii="宋体" w:hAnsi="宋体" w:eastAsia="宋体" w:cs="宋体"/>
                <w:b/>
                <w:bCs/>
                <w:sz w:val="22"/>
                <w:szCs w:val="22"/>
              </w:rPr>
              <w:t xml:space="preserve"> </w:t>
            </w:r>
            <w:r>
              <w:rPr>
                <w:rFonts w:ascii="宋体" w:hAnsi="宋体" w:eastAsia="宋体" w:cs="宋体"/>
                <w:b/>
                <w:bCs/>
                <w:spacing w:val="-9"/>
                <w:sz w:val="22"/>
                <w:szCs w:val="22"/>
              </w:rPr>
              <w:t>督办</w:t>
            </w:r>
          </w:p>
        </w:tc>
        <w:tc>
          <w:tcPr>
            <w:tcW w:w="580"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立案</w:t>
            </w: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执法检</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查立案</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率</w:t>
            </w: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8"/>
                <w:sz w:val="22"/>
                <w:szCs w:val="22"/>
              </w:rPr>
              <w:t>停业</w:t>
            </w:r>
            <w:r>
              <w:rPr>
                <w:rFonts w:ascii="宋体" w:hAnsi="宋体" w:eastAsia="宋体" w:cs="宋体"/>
                <w:b/>
                <w:bCs/>
                <w:sz w:val="22"/>
                <w:szCs w:val="22"/>
              </w:rPr>
              <w:t xml:space="preserve"> </w:t>
            </w:r>
            <w:r>
              <w:rPr>
                <w:rFonts w:ascii="宋体" w:hAnsi="宋体" w:eastAsia="宋体" w:cs="宋体"/>
                <w:b/>
                <w:bCs/>
                <w:spacing w:val="-8"/>
                <w:sz w:val="22"/>
                <w:szCs w:val="22"/>
              </w:rPr>
              <w:t>整顿</w:t>
            </w:r>
            <w:r>
              <w:rPr>
                <w:rFonts w:ascii="宋体" w:hAnsi="宋体" w:eastAsia="宋体" w:cs="宋体"/>
                <w:b/>
                <w:bCs/>
                <w:sz w:val="22"/>
                <w:szCs w:val="22"/>
              </w:rPr>
              <w:t xml:space="preserve"> </w:t>
            </w:r>
            <w:r>
              <w:rPr>
                <w:rFonts w:ascii="宋体" w:hAnsi="宋体" w:eastAsia="宋体" w:cs="宋体"/>
                <w:b/>
                <w:bCs/>
                <w:spacing w:val="-8"/>
                <w:sz w:val="22"/>
                <w:szCs w:val="22"/>
              </w:rPr>
              <w:t>停止</w:t>
            </w:r>
            <w:r>
              <w:rPr>
                <w:rFonts w:ascii="宋体" w:hAnsi="宋体" w:eastAsia="宋体" w:cs="宋体"/>
                <w:b/>
                <w:bCs/>
                <w:sz w:val="22"/>
                <w:szCs w:val="22"/>
              </w:rPr>
              <w:t xml:space="preserve"> </w:t>
            </w:r>
            <w:r>
              <w:rPr>
                <w:rFonts w:ascii="宋体" w:hAnsi="宋体" w:eastAsia="宋体" w:cs="宋体"/>
                <w:b/>
                <w:bCs/>
                <w:spacing w:val="-8"/>
                <w:sz w:val="22"/>
                <w:szCs w:val="22"/>
              </w:rPr>
              <w:t>建设</w:t>
            </w: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4"/>
                <w:sz w:val="22"/>
                <w:szCs w:val="22"/>
              </w:rPr>
              <w:t>暂扣</w:t>
            </w:r>
            <w:r>
              <w:rPr>
                <w:rFonts w:ascii="宋体" w:hAnsi="宋体" w:eastAsia="宋体" w:cs="宋体"/>
                <w:b/>
                <w:bCs/>
                <w:sz w:val="22"/>
                <w:szCs w:val="22"/>
              </w:rPr>
              <w:t xml:space="preserve"> </w:t>
            </w:r>
            <w:r>
              <w:rPr>
                <w:rFonts w:ascii="宋体" w:hAnsi="宋体" w:eastAsia="宋体" w:cs="宋体"/>
                <w:b/>
                <w:bCs/>
                <w:spacing w:val="2"/>
                <w:sz w:val="22"/>
                <w:szCs w:val="22"/>
              </w:rPr>
              <w:t>吊销</w:t>
            </w:r>
            <w:r>
              <w:rPr>
                <w:rFonts w:ascii="宋体" w:hAnsi="宋体" w:eastAsia="宋体" w:cs="宋体"/>
                <w:b/>
                <w:bCs/>
                <w:sz w:val="22"/>
                <w:szCs w:val="22"/>
              </w:rPr>
              <w:t xml:space="preserve"> </w:t>
            </w:r>
            <w:r>
              <w:rPr>
                <w:rFonts w:ascii="宋体" w:hAnsi="宋体" w:eastAsia="宋体" w:cs="宋体"/>
                <w:b/>
                <w:bCs/>
                <w:spacing w:val="3"/>
                <w:sz w:val="22"/>
                <w:szCs w:val="22"/>
              </w:rPr>
              <w:t>证照</w:t>
            </w:r>
            <w:r>
              <w:rPr>
                <w:rFonts w:ascii="宋体" w:hAnsi="宋体" w:eastAsia="宋体" w:cs="宋体"/>
                <w:b/>
                <w:bCs/>
                <w:sz w:val="22"/>
                <w:szCs w:val="22"/>
              </w:rPr>
              <w:t xml:space="preserve"> </w:t>
            </w:r>
            <w:r>
              <w:rPr>
                <w:rFonts w:ascii="宋体" w:hAnsi="宋体" w:eastAsia="宋体" w:cs="宋体"/>
                <w:b/>
                <w:bCs/>
                <w:spacing w:val="-5"/>
                <w:sz w:val="22"/>
                <w:szCs w:val="22"/>
              </w:rPr>
              <w:t>证书</w:t>
            </w: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2"/>
                <w:sz w:val="22"/>
                <w:szCs w:val="22"/>
              </w:rPr>
              <w:t>关闭取缔</w:t>
            </w: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2"/>
                <w:sz w:val="22"/>
                <w:szCs w:val="22"/>
              </w:rPr>
              <w:t>罚款</w:t>
            </w: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5"/>
                <w:sz w:val="22"/>
                <w:szCs w:val="22"/>
              </w:rPr>
              <w:t>其他</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措施</w:t>
            </w:r>
          </w:p>
        </w:tc>
        <w:tc>
          <w:tcPr>
            <w:tcW w:w="645"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b/>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b/>
                <w:bCs/>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个</w:t>
            </w: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人次</w:t>
            </w: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家</w:t>
            </w: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项</w:t>
            </w: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项</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w:t>
            </w: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项</w:t>
            </w: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项</w:t>
            </w: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w:t>
            </w: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项</w:t>
            </w: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家</w:t>
            </w: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w:t>
            </w: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家</w:t>
            </w: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3"/>
                <w:sz w:val="22"/>
                <w:szCs w:val="22"/>
              </w:rPr>
              <w:t>次</w:t>
            </w: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家</w:t>
            </w: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pacing w:val="22"/>
                <w:sz w:val="22"/>
                <w:szCs w:val="22"/>
              </w:rPr>
              <w:t>万元</w:t>
            </w: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项</w:t>
            </w: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b/>
                <w:bCs/>
                <w:sz w:val="22"/>
                <w:szCs w:val="22"/>
              </w:rPr>
            </w:pPr>
            <w:r>
              <w:rPr>
                <w:rFonts w:ascii="宋体" w:hAnsi="宋体" w:eastAsia="宋体" w:cs="宋体"/>
                <w:b/>
                <w:bCs/>
                <w:sz w:val="22"/>
                <w:szCs w:val="22"/>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13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宋体" w:hAnsi="宋体" w:eastAsia="宋体" w:cs="宋体"/>
                <w:sz w:val="22"/>
                <w:szCs w:val="22"/>
              </w:rPr>
            </w:pPr>
            <w:r>
              <w:rPr>
                <w:rFonts w:ascii="宋体" w:hAnsi="宋体" w:eastAsia="宋体" w:cs="宋体"/>
                <w:spacing w:val="-3"/>
                <w:sz w:val="22"/>
                <w:szCs w:val="22"/>
              </w:rPr>
              <w:t>合计</w:t>
            </w: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98"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0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6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85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7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58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9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3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c>
          <w:tcPr>
            <w:tcW w:w="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jc w:val="center"/>
              <w:textAlignment w:val="baseline"/>
              <w:rPr>
                <w:rFonts w:ascii="Arial"/>
                <w:sz w:val="21"/>
              </w:rPr>
            </w:pPr>
          </w:p>
        </w:tc>
      </w:tr>
    </w:tbl>
    <w:p>
      <w:pPr>
        <w:bidi w:val="0"/>
        <w:rPr>
          <w:rFonts w:hint="default" w:ascii="Arial" w:hAnsi="Arial" w:eastAsia="Arial" w:cs="Arial"/>
          <w:snapToGrid w:val="0"/>
          <w:color w:val="000000"/>
          <w:kern w:val="0"/>
          <w:sz w:val="21"/>
          <w:szCs w:val="21"/>
          <w:lang w:val="en-US" w:eastAsia="zh-CN"/>
        </w:rPr>
      </w:pPr>
    </w:p>
    <w:p>
      <w:pPr>
        <w:bidi w:val="0"/>
        <w:ind w:firstLine="280" w:firstLineChars="100"/>
        <w:jc w:val="left"/>
        <w:rPr>
          <w:rFonts w:hint="default"/>
          <w:lang w:val="en-US" w:eastAsia="zh-CN"/>
        </w:rPr>
      </w:pPr>
      <w:r>
        <w:rPr>
          <w:rFonts w:hint="eastAsia" w:ascii="仿宋_GB2312" w:hAnsi="仿宋_GB2312" w:eastAsia="仿宋_GB2312" w:cs="仿宋_GB2312"/>
          <w:sz w:val="28"/>
          <w:szCs w:val="28"/>
          <w:lang w:val="en-US" w:eastAsia="zh-CN"/>
        </w:rPr>
        <w:t>审核人:                                   填表人:                            联系方式:</w:t>
      </w:r>
    </w:p>
    <w:sectPr>
      <w:footerReference r:id="rId6" w:type="default"/>
      <w:pgSz w:w="16838" w:h="11906" w:orient="landscape"/>
      <w:pgMar w:top="1587" w:right="1587" w:bottom="1587" w:left="1587" w:header="851" w:footer="1304"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DJkODMwYmNiOGIwMjI4ZjgzZjk0YzhkYmE4NDAifQ=="/>
  </w:docVars>
  <w:rsids>
    <w:rsidRoot w:val="0F5A7952"/>
    <w:rsid w:val="079E2214"/>
    <w:rsid w:val="0F5A7952"/>
    <w:rsid w:val="101C784D"/>
    <w:rsid w:val="13554615"/>
    <w:rsid w:val="14302945"/>
    <w:rsid w:val="150712B5"/>
    <w:rsid w:val="161B26B3"/>
    <w:rsid w:val="18464E68"/>
    <w:rsid w:val="191C0587"/>
    <w:rsid w:val="1D8D7C29"/>
    <w:rsid w:val="32001280"/>
    <w:rsid w:val="36D07040"/>
    <w:rsid w:val="40CD0CC6"/>
    <w:rsid w:val="40EF28FA"/>
    <w:rsid w:val="46BD2CD2"/>
    <w:rsid w:val="46F81F5C"/>
    <w:rsid w:val="481E43C4"/>
    <w:rsid w:val="52D92618"/>
    <w:rsid w:val="52E70BE6"/>
    <w:rsid w:val="54B75204"/>
    <w:rsid w:val="54CB0D82"/>
    <w:rsid w:val="54D36F0C"/>
    <w:rsid w:val="55E74614"/>
    <w:rsid w:val="56570EDF"/>
    <w:rsid w:val="56625245"/>
    <w:rsid w:val="583D0117"/>
    <w:rsid w:val="5C4375C6"/>
    <w:rsid w:val="62E42611"/>
    <w:rsid w:val="6AEF70BE"/>
    <w:rsid w:val="6B3249B1"/>
    <w:rsid w:val="78973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rPr>
      <w:rFonts w:cstheme="minorBidi"/>
    </w:rPr>
  </w:style>
  <w:style w:type="paragraph" w:styleId="3">
    <w:name w:val="Body Text Indent"/>
    <w:basedOn w:val="1"/>
    <w:next w:val="4"/>
    <w:semiHidden/>
    <w:unhideWhenUsed/>
    <w:qFormat/>
    <w:uiPriority w:val="99"/>
    <w:pPr>
      <w:spacing w:after="120"/>
      <w:ind w:left="420" w:leftChars="200"/>
    </w:pPr>
  </w:style>
  <w:style w:type="paragraph" w:styleId="4">
    <w:name w:val="Normal Indent"/>
    <w:basedOn w:val="1"/>
    <w:next w:val="1"/>
    <w:unhideWhenUsed/>
    <w:qFormat/>
    <w:uiPriority w:val="99"/>
    <w:pPr>
      <w:ind w:firstLine="420" w:firstLineChars="200"/>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2738</Words>
  <Characters>2761</Characters>
  <Lines>0</Lines>
  <Paragraphs>0</Paragraphs>
  <TotalTime>5</TotalTime>
  <ScaleCrop>false</ScaleCrop>
  <LinksUpToDate>false</LinksUpToDate>
  <CharactersWithSpaces>2944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2023-05-18T07:39:00Z</dcterms:created>
  <dc:creator>LLL</dc:creator>
  <cp:lastModifiedBy>Demon Hunter</cp:lastModifiedBy>
  <cp:lastPrinted>2023-05-22T07:28:13Z</cp:lastPrinted>
  <dcterms:modified xsi:type="dcterms:W3CDTF">2023-05-22T07:35:05Z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E8F428EC86054F76939FB868FAEC71C0_13</vt:lpwstr>
  </property>
</Properties>
</file>